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OVERCOMING TRIALS AND TEMPTATIONS</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1:1-18</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1:5</w:t>
      </w:r>
    </w:p>
    <w:p w:rsidR="00000000" w:rsidDel="00000000" w:rsidP="00000000" w:rsidRDefault="00000000" w:rsidRPr="00000000" w14:paraId="00000005">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 How are the author and recipients described (1)? How should believers consider trials and why (2-3)? What is the fruit of faith that goes through trials (4)?</w:t>
      </w:r>
    </w:p>
    <w:p w:rsidR="00000000" w:rsidDel="00000000" w:rsidP="00000000" w:rsidRDefault="00000000" w:rsidRPr="00000000" w14:paraId="00000007">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 What do we need in times of trial, where should we seek it and why (5)? What attitude should we have when we ask (6-8)? Why is doubt such a serious matter?</w:t>
      </w:r>
    </w:p>
    <w:p w:rsidR="00000000" w:rsidDel="00000000" w:rsidP="00000000" w:rsidRDefault="00000000" w:rsidRPr="00000000" w14:paraId="00000009">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 What exhortations were given to the poor and to the rich, and why were they necessary (9-11)? What does “high position” refer to (2:5; 4:10)? Who is blessed (12)? How does this promise help us to go through trials?</w:t>
      </w:r>
    </w:p>
    <w:p w:rsidR="00000000" w:rsidDel="00000000" w:rsidP="00000000" w:rsidRDefault="00000000" w:rsidRPr="00000000" w14:paraId="0000000B">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 During times of trial, to what are we vulnerable (13)? What wrong assumption should we avoid making? What is the source of temptation (14)? What happens to those who are dragged away by evil desires (15)?</w:t>
      </w:r>
    </w:p>
    <w:p w:rsidR="00000000" w:rsidDel="00000000" w:rsidP="00000000" w:rsidRDefault="00000000" w:rsidRPr="00000000" w14:paraId="0000000D">
      <w:pPr>
        <w:spacing w:line="240" w:lineRule="auto"/>
        <w:ind w:left="431.99999999999994" w:hanging="431.9999999999999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ind w:left="431.99999999999994" w:hanging="431.9999999999999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tab/>
        <w:t xml:space="preserve"> What warning is given (16)? What should we know about God (17)? What blessings has God already given his children (18)? What is “the word of truth”? Why is it so important to know God truly and intimately, especially in times of trial?</w:t>
      </w:r>
    </w:p>
    <w:sectPr>
      <w:pgSz w:h="15840" w:w="12240"/>
      <w:pgMar w:bottom="1727.9999999999998" w:top="1727.9999999999998" w:left="1727.9999999999998" w:right="1727.999999999999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