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INCARNATIONAL MINISTRY ACROSS CULTURES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3">
      <w:pPr>
        <w:ind w:left="708.6614173228347" w:right="572.598425196851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“Therefore go and make disciples </w:t>
      </w:r>
      <w:r w:rsidDel="00000000" w:rsidR="00000000" w:rsidRPr="00000000">
        <w:rPr>
          <w:rFonts w:ascii="Times New Roman" w:cs="Times New Roman" w:eastAsia="Times New Roman" w:hAnsi="Times New Roman"/>
          <w:i w:val="1"/>
          <w:sz w:val="24"/>
          <w:szCs w:val="24"/>
          <w:u w:val="single"/>
          <w:rtl w:val="0"/>
        </w:rPr>
        <w:t xml:space="preserve">of all nations</w:t>
      </w:r>
      <w:r w:rsidDel="00000000" w:rsidR="00000000" w:rsidRPr="00000000">
        <w:rPr>
          <w:rFonts w:ascii="Times New Roman" w:cs="Times New Roman" w:eastAsia="Times New Roman" w:hAnsi="Times New Roman"/>
          <w:i w:val="1"/>
          <w:sz w:val="24"/>
          <w:szCs w:val="24"/>
          <w:rtl w:val="0"/>
        </w:rPr>
        <w:t xml:space="preserve">, baptizing them in the name of the Father and of the Son and of the Holy Spirit, and teaching them to obey everything I have commanded you. And surely, I am with you always, to the very end of the age.” (Mt 28:19-20)</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numPr>
          <w:ilvl w:val="0"/>
          <w:numId w:val="1"/>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the scope of the great commission given by Jesus (Mt 28:19-20)? What barriers must we overcome when preaching the gospel cross culturally? </w:t>
      </w:r>
    </w:p>
    <w:p w:rsidR="00000000" w:rsidDel="00000000" w:rsidP="00000000" w:rsidRDefault="00000000" w:rsidRPr="00000000" w14:paraId="00000006">
      <w:pPr>
        <w:ind w:left="708.6614173228347"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you experienced differences in culture? What dangers are there in ministering cross culturally? How do cultural conflicts hinder gospel ministry? What primary task must we keep in mind as gospel workers? </w:t>
      </w:r>
    </w:p>
    <w:p w:rsidR="00000000" w:rsidDel="00000000" w:rsidP="00000000" w:rsidRDefault="00000000" w:rsidRPr="00000000" w14:paraId="00000008">
      <w:pPr>
        <w:ind w:left="708.6614173228347"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did Paul preserve the gospel truth in the conflict between Jewish and Gentile believers (Ga 2:15)? What principle did Paul have when preaching the gospel cross culturally (1Co 9:19-23)?</w:t>
      </w:r>
    </w:p>
    <w:p w:rsidR="00000000" w:rsidDel="00000000" w:rsidP="00000000" w:rsidRDefault="00000000" w:rsidRPr="00000000" w14:paraId="0000000A">
      <w:p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important is it to understand the culture of those we are ministering to? How can we deepen our understanding of another culture? What ways will this improve communication of the gospel? </w:t>
      </w:r>
    </w:p>
    <w:p w:rsidR="00000000" w:rsidDel="00000000" w:rsidP="00000000" w:rsidRDefault="00000000" w:rsidRPr="00000000" w14:paraId="0000000C">
      <w:p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 the following: “</w:t>
      </w:r>
      <w:r w:rsidDel="00000000" w:rsidR="00000000" w:rsidRPr="00000000">
        <w:rPr>
          <w:rFonts w:ascii="Times New Roman" w:cs="Times New Roman" w:eastAsia="Times New Roman" w:hAnsi="Times New Roman"/>
          <w:i w:val="1"/>
          <w:sz w:val="24"/>
          <w:szCs w:val="24"/>
          <w:rtl w:val="0"/>
        </w:rPr>
        <w:t xml:space="preserve">Culture must always be tested and judged by Scripture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gospel does not presuppose the superiority of any culture to another, but evaluates all cultures according to its own criteria of faith and righteousness, and insists on moral absolutes in every culture.”</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How can we do this practically?</w:t>
      </w:r>
    </w:p>
    <w:p w:rsidR="00000000" w:rsidDel="00000000" w:rsidP="00000000" w:rsidRDefault="00000000" w:rsidRPr="00000000" w14:paraId="0000000E">
      <w:p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an incarnational mindset, and why is this important for proper contextualization? Think of Jesus’ incarnational mindset (Php 2:5-8; Heb 2:14,17).</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17.3228346456694" w:right="147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Lausanne Covenant, 1974 http://lausanne.org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