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UNTIL CHRIST IS FORMED IN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Galatians 4:8-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My dear children, for whom I am again in the pains of childbirth until Christ is formed in y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ou”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8-11. Describe the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spiritual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Galatians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before they knew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God? (8; Eph 2:2-3) What happened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them through Paul’s gospel message?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(9a; 3:2) What would happen to them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went back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 Jewish legalism? (9b-10) What 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Paul’s agony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12-16.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was Paul’s earnest plea? (12) 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ow did the Galatians welcome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Paul in the past? (13-14) How were they changed when they turned to Jewish legalism? (15-16)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17-20.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did Paul say about the Judaizer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s’ motive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(17-1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Why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Paul be in the pain of childbir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 again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(19)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was Paul’s hope for them? (20)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