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firstLine="0"/>
        <w:jc w:val="center"/>
      </w:pPr>
      <w:r w:rsidRPr="00000000" w:rsidR="00000000" w:rsidDel="00000000">
        <w:rPr>
          <w:rFonts w:cs="Times New Roman" w:hAnsi="Times New Roman" w:eastAsia="Times New Roman" w:ascii="Times New Roman"/>
          <w:color w:val="000000"/>
          <w:vertAlign w:val="baseline"/>
          <w:rtl w:val="0"/>
        </w:rPr>
        <w:t xml:space="preserve">David </w:t>
      </w:r>
      <w:r w:rsidRPr="00000000" w:rsidR="00000000" w:rsidDel="00000000">
        <w:rPr>
          <w:rtl w:val="0"/>
        </w:rPr>
        <w:t xml:space="preserve">A</w:t>
      </w:r>
      <w:r w:rsidRPr="00000000" w:rsidR="00000000" w:rsidDel="00000000">
        <w:rPr>
          <w:rFonts w:cs="Times New Roman" w:hAnsi="Times New Roman" w:eastAsia="Times New Roman" w:ascii="Times New Roman"/>
          <w:color w:val="000000"/>
          <w:vertAlign w:val="baseline"/>
          <w:rtl w:val="0"/>
        </w:rPr>
        <w:t xml:space="preserve">mong the Philistines</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1 Samuel 27:1-12</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Key Verse 7</w:t>
      </w:r>
      <w:r w:rsidRPr="00000000" w:rsidR="00000000" w:rsidDel="00000000">
        <w:rPr>
          <w:rtl w:val="0"/>
        </w:rPr>
      </w:r>
    </w:p>
    <w:p w:rsidP="00000000" w:rsidRPr="00000000" w:rsidR="00000000" w:rsidDel="00000000" w:rsidRDefault="00000000">
      <w:pPr>
        <w:spacing w:lineRule="auto" w:after="0" w:line="276" w:before="0"/>
        <w:ind w:firstLine="0"/>
        <w:jc w:val="center"/>
      </w:pPr>
      <w:r w:rsidRPr="00000000" w:rsidR="00000000" w:rsidDel="00000000">
        <w:rPr>
          <w:rtl w:val="0"/>
        </w:rPr>
      </w:r>
    </w:p>
    <w:p w:rsidP="00000000" w:rsidRPr="00000000" w:rsidR="00000000" w:rsidDel="00000000" w:rsidRDefault="00000000">
      <w:pPr>
        <w:spacing w:lineRule="auto" w:after="0" w:line="276" w:before="0"/>
        <w:ind w:firstLine="0"/>
        <w:jc w:val="left"/>
      </w:pPr>
      <w:r w:rsidRPr="00000000" w:rsidR="00000000" w:rsidDel="00000000">
        <w:rPr>
          <w:rFonts w:cs="Times New Roman" w:hAnsi="Times New Roman" w:eastAsia="Times New Roman" w:ascii="Times New Roman"/>
          <w:i w:val="1"/>
          <w:color w:val="000000"/>
          <w:vertAlign w:val="baseline"/>
          <w:rtl w:val="0"/>
        </w:rPr>
        <w:t xml:space="preserve">“</w:t>
      </w:r>
      <w:r w:rsidRPr="00000000" w:rsidR="00000000" w:rsidDel="00000000">
        <w:rPr>
          <w:rFonts w:cs="Times New Roman" w:hAnsi="Times New Roman" w:eastAsia="Times New Roman" w:ascii="Times New Roman"/>
          <w:b w:val="1"/>
          <w:i w:val="1"/>
          <w:color w:val="000000"/>
          <w:highlight w:val="white"/>
          <w:vertAlign w:val="superscript"/>
          <w:rtl w:val="0"/>
        </w:rPr>
        <w:t xml:space="preserve"> </w:t>
      </w:r>
      <w:r w:rsidRPr="00000000" w:rsidR="00000000" w:rsidDel="00000000">
        <w:rPr>
          <w:rFonts w:cs="Times New Roman" w:hAnsi="Times New Roman" w:eastAsia="Times New Roman" w:ascii="Times New Roman"/>
          <w:i w:val="1"/>
          <w:color w:val="000000"/>
          <w:highlight w:val="white"/>
          <w:vertAlign w:val="baseline"/>
          <w:rtl w:val="0"/>
        </w:rPr>
        <w:t xml:space="preserve">David lived in Philistine territory a year and four months.”</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pPr>
      <w:r w:rsidRPr="00000000" w:rsidR="00000000" w:rsidDel="00000000">
        <w:rPr>
          <w:rFonts w:cs="Times New Roman" w:hAnsi="Times New Roman" w:eastAsia="Times New Roman" w:ascii="Times New Roman"/>
          <w:color w:val="000000"/>
          <w:vertAlign w:val="baseline"/>
          <w:rtl w:val="0"/>
        </w:rPr>
        <w:t xml:space="preserve">Read verses 1-4. Why does David decide to go to Gath? (1) Who follows David when he goes</w:t>
      </w:r>
      <w:r w:rsidRPr="00000000" w:rsidR="00000000" w:rsidDel="00000000">
        <w:rPr>
          <w:rFonts w:cs="Times New Roman" w:hAnsi="Times New Roman" w:eastAsia="Times New Roman" w:ascii="Times New Roman"/>
          <w:color w:val="000000"/>
          <w:highlight w:val="white"/>
          <w:vertAlign w:val="baseline"/>
          <w:rtl w:val="0"/>
        </w:rPr>
        <w:t xml:space="preserve"> over to Achish son of Maok king of Gath? (2,3) Where does David settle? (3a) What does Saul do when he heard that David had fled to Gath? (4)</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left="450" w:hanging="359"/>
      </w:pPr>
      <w:r w:rsidRPr="00000000" w:rsidR="00000000" w:rsidDel="00000000">
        <w:rPr>
          <w:rFonts w:cs="Times New Roman" w:hAnsi="Times New Roman" w:eastAsia="Times New Roman" w:ascii="Times New Roman"/>
          <w:color w:val="000000"/>
          <w:vertAlign w:val="baseline"/>
          <w:rtl w:val="0"/>
        </w:rPr>
        <w:t xml:space="preserve">2.</w:t>
      </w:r>
      <w:r w:rsidRPr="00000000" w:rsidR="00000000" w:rsidDel="00000000">
        <w:rPr>
          <w:rtl w:val="0"/>
        </w:rPr>
        <w:tab/>
      </w:r>
      <w:r w:rsidRPr="00000000" w:rsidR="00000000" w:rsidDel="00000000">
        <w:rPr>
          <w:rFonts w:cs="Times New Roman" w:hAnsi="Times New Roman" w:eastAsia="Times New Roman" w:ascii="Times New Roman"/>
          <w:color w:val="000000"/>
          <w:vertAlign w:val="baseline"/>
          <w:rtl w:val="0"/>
        </w:rPr>
        <w:t xml:space="preserve">Read verse 5-9. How does David come to live in Ziklag? (5–6) How long does David live in </w:t>
      </w:r>
      <w:r w:rsidRPr="00000000" w:rsidR="00000000" w:rsidDel="00000000">
        <w:rPr>
          <w:rFonts w:cs="Times New Roman" w:hAnsi="Times New Roman" w:eastAsia="Times New Roman" w:ascii="Times New Roman"/>
          <w:color w:val="000000"/>
          <w:highlight w:val="white"/>
          <w:vertAlign w:val="baseline"/>
          <w:rtl w:val="0"/>
        </w:rPr>
        <w:t xml:space="preserve">Philistine territory? (7) </w:t>
      </w:r>
      <w:r w:rsidRPr="00000000" w:rsidR="00000000" w:rsidDel="00000000">
        <w:rPr>
          <w:rFonts w:cs="Times New Roman" w:hAnsi="Times New Roman" w:eastAsia="Times New Roman" w:ascii="Times New Roman"/>
          <w:color w:val="000000"/>
          <w:vertAlign w:val="baseline"/>
          <w:rtl w:val="0"/>
        </w:rPr>
        <w:t xml:space="preserve"> Which peoples do David and his men raid? (8) What does David do when he attacks?(9)</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Fonts w:cs="Times New Roman" w:hAnsi="Times New Roman" w:eastAsia="Times New Roman" w:ascii="Times New Roman"/>
          <w:color w:val="000000"/>
          <w:vertAlign w:val="baseline"/>
          <w:rtl w:val="0"/>
        </w:rPr>
        <w:t xml:space="preserve">3. </w:t>
        <w:tab/>
        <w:t xml:space="preserve">Read verse 10-12. What does David say to Achish when he is questioned about where he has been? (10)  What does David do in order to conceal the truth? (11)  What does Achish think about David? (12)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1Sa27_2013Q.docx</dc:title>
</cp:coreProperties>
</file>