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THE SUN OF RIGHTEOUSNESS SHALL RISE</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Malachi 3:13-4:6</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Key Verse: 4:2a, “But for you who fear my name, the sun of righteousness shall rise with healing in its wings.”</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rPr>
          <w:sz w:val="24"/>
          <w:szCs w:val="24"/>
        </w:rPr>
      </w:pPr>
      <w:r w:rsidDel="00000000" w:rsidR="00000000" w:rsidRPr="00000000">
        <w:rPr>
          <w:sz w:val="24"/>
          <w:szCs w:val="24"/>
          <w:rtl w:val="0"/>
        </w:rPr>
        <w:t xml:space="preserve">What is the people’s final complaint to God (13-15)? How is it similar and different to 2:17, and what is underlying this complaint?</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sz w:val="24"/>
          <w:szCs w:val="24"/>
          <w:u w:val="none"/>
        </w:rPr>
      </w:pPr>
      <w:r w:rsidDel="00000000" w:rsidR="00000000" w:rsidRPr="00000000">
        <w:rPr>
          <w:sz w:val="24"/>
          <w:szCs w:val="24"/>
          <w:rtl w:val="0"/>
        </w:rPr>
        <w:t xml:space="preserve">What was the response of the faithful, how are they described, and what was done for them (16)? What else did God promise would be done for them (17)? How else are they described (18), and how would this answer their earlier complaint (15)?</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sz w:val="24"/>
          <w:szCs w:val="24"/>
          <w:u w:val="none"/>
        </w:rPr>
      </w:pPr>
      <w:r w:rsidDel="00000000" w:rsidR="00000000" w:rsidRPr="00000000">
        <w:rPr>
          <w:sz w:val="24"/>
          <w:szCs w:val="24"/>
          <w:rtl w:val="0"/>
        </w:rPr>
        <w:t xml:space="preserve">What would happen on “the day that is coming” (4:1)? What would happen for those who fear the LORD’s name (2-3)?</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rPr>
          <w:sz w:val="24"/>
          <w:szCs w:val="24"/>
          <w:u w:val="none"/>
        </w:rPr>
      </w:pPr>
      <w:r w:rsidDel="00000000" w:rsidR="00000000" w:rsidRPr="00000000">
        <w:rPr>
          <w:sz w:val="24"/>
          <w:szCs w:val="24"/>
          <w:rtl w:val="0"/>
        </w:rPr>
        <w:t xml:space="preserve">What did the LORD urge Israel to remember (4)? Whom did the LORD promise to send before that great day (5)? What would he do, and how was this fulfilled (6a; Lk 1:13,16-17)? What disaster would this avert (6b)?</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4"/>
          <w:szCs w:val="24"/>
          <w:u w:val="none"/>
        </w:rPr>
      </w:pPr>
      <w:r w:rsidDel="00000000" w:rsidR="00000000" w:rsidRPr="00000000">
        <w:rPr>
          <w:sz w:val="24"/>
          <w:szCs w:val="24"/>
          <w:rtl w:val="0"/>
        </w:rPr>
        <w:t xml:space="preserve">What does the New Testament teach about a book of remembrance (Lk 10:20; Rev 13:8; 21:27)? Who is the “sun of righteousness” (4:2; Lk 1:78; Jn 8:12)? What did Jesus teach about a judgment and separation between the righteous and the wicked (Mt 13:40-43)? How has Malachi prepared us to accept the Messiah to come?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