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9:1-19a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 9:15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0" w:line="240" w:lineRule="auto"/>
        <w:jc w:val="center"/>
        <w:rPr>
          <w:rFonts w:ascii="Book Antiqua" w:cs="Book Antiqua" w:eastAsia="Book Antiqua" w:hAnsi="Book Antiqua"/>
          <w:b w:val="1"/>
          <w:color w:val="0d0d0d"/>
        </w:rPr>
      </w:pPr>
      <w:bookmarkStart w:colFirst="0" w:colLast="0" w:name="_xb67pnkjl1fl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rtl w:val="0"/>
        </w:rPr>
        <w:t xml:space="preserve">THIS MAN IS MY CHOSEN INSTRUMENT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Who was Saul (1-2; 7:58-8:1)? What motivated him to travel to Damascus, and what drove his determination to destroy the church? 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In what manner did the Risen Jesus reveal himself to Saul (3-6)? What might have been the reasons for this direct confrontation? How did Saul react, and what were the immediate consequences (7-9)? What insights can we learn about the Risen Jesus from this event?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did the Lord orchestrate Ananias’ meeting with Saul (10-12)? What were Ananias’ concerns or hesitations (13-14)? What purpose did the Risen Jesus have for Saul (15-16)? How did Jesus’ grace impact Saul (22:6-16; 26:12-18; 1Ti 1:15; Rom 15:15-16)?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did Ananias shepherd Saul (17-19a)? What changes occurred in Saul when Ananias placed his hands on him? How did this equip Saul for his mission from the Lord?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